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hd w:val="clear" w:color="auto"/>
        <w:spacing w:line="560" w:lineRule="exact"/>
        <w:ind w:left="0" w:firstLine="48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bookmarkStart w:id="0" w:name="OLE_LINK2"/>
      <w:bookmarkStart w:id="1" w:name="OLE_LINK3"/>
      <w:bookmarkStart w:id="2" w:name="OLE_LINK1"/>
      <w:bookmarkStart w:id="3" w:name="OLE_LINK4"/>
      <w:bookmarkStart w:id="4" w:name="OLE_LINK5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2025年小</w:t>
      </w:r>
      <w:bookmarkStart w:id="15" w:name="_GoBack"/>
      <w:bookmarkEnd w:id="15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麦“一喷三防”物资采购项目</w:t>
      </w:r>
    </w:p>
    <w:p>
      <w:pPr>
        <w:pageBreakBefore w:val="0"/>
        <w:shd w:val="clear" w:color="auto"/>
        <w:spacing w:line="560" w:lineRule="exact"/>
        <w:ind w:left="0" w:firstLine="48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征求意见公告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泗洪县农业农村局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2025年小麦“一喷三防”物资采购项目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，邀请合格的供应商参与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。有关事项如下：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一、项目基本情况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2025年小麦“一喷三防”物资采购项目</w:t>
      </w:r>
    </w:p>
    <w:p>
      <w:pPr>
        <w:spacing w:after="156" w:afterLines="50"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（二）采购需求：</w:t>
      </w:r>
    </w:p>
    <w:tbl>
      <w:tblPr>
        <w:tblStyle w:val="12"/>
        <w:tblW w:w="9420" w:type="dxa"/>
        <w:tblInd w:w="-4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2130"/>
        <w:gridCol w:w="3435"/>
        <w:gridCol w:w="1680"/>
        <w:gridCol w:w="1065"/>
      </w:tblGrid>
      <w:tr>
        <w:trPr>
          <w:trHeight w:val="731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采购包名称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最高单价限价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（万元/吨）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采购包1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（叶面肥）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大量元素水溶叶面肥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料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left="0" w:leftChars="0" w:firstLine="0" w:firstLineChars="0"/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采购叶面肥：大量元素水溶叶面肥料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N+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</w:t>
            </w:r>
            <w:r>
              <w:rPr>
                <w:rStyle w:val="41"/>
                <w:rFonts w:eastAsia="宋体"/>
                <w:highlight w:val="none"/>
                <w:lang w:val="en-US" w:eastAsia="zh-CN" w:bidi="ar"/>
              </w:rPr>
              <w:t>₂</w:t>
            </w:r>
            <w:r>
              <w:rPr>
                <w:rStyle w:val="42"/>
                <w:highlight w:val="none"/>
                <w:lang w:val="en-US" w:eastAsia="zh-CN" w:bidi="ar"/>
              </w:rPr>
              <w:t>O</w:t>
            </w:r>
            <w:r>
              <w:rPr>
                <w:rStyle w:val="41"/>
                <w:rFonts w:eastAsia="宋体"/>
                <w:highlight w:val="none"/>
                <w:lang w:val="en-US" w:eastAsia="zh-CN" w:bidi="ar"/>
              </w:rPr>
              <w:t>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O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≥400g/L。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其中：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 xml:space="preserve">≥300g/L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400g/L，Cu+Fe+Mn+Zn+B：2g/L—30g/L，氯离子含量≤30g/L，水不溶物含量≤10g/L。1kg/瓶，液体产品，质量符合NY/T1107-2020标准。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2.05万元/吨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75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采购包2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（杀虫剂）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37%联苯·噻虫胺悬浮剂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100g/瓶。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17万元/吨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采购包3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（杀虫剂）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150g/L 联苯.吡虫啉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220g/瓶。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7.5万元/吨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采购包4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（杀菌剂）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480g/L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氰烯.戊唑醇悬浮剂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500mL/瓶，所投产品必须同时登记在小麦赤霉病、白粉病上。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19.75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万元/吨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采购包5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（杀菌剂）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30%肟菌.戊唑醇悬浮剂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1000g/瓶，所投产品必须同时登记在小麦赤霉病、白粉病上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12.5万元/吨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采购包6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（杀菌剂）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丙硫菌唑（剂型不限，丙硫菌唑含量不低于30%）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1000g/瓶，所投产品必须同时登记在小麦赤霉病、白粉病上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万元/吨（100%纯丙硫菌唑报价）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</w:tr>
      <w:tr>
        <w:trPr>
          <w:trHeight w:val="548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</w:tr>
    </w:tbl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供应商资格要求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8" w:name="OLE_LINK16"/>
      <w:bookmarkStart w:id="9" w:name="OLE_LINK2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bookmarkEnd w:id="8"/>
    <w:bookmarkEnd w:id="9"/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1（叶面肥）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2（杀虫剂）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>
      <w:pPr>
        <w:pageBreakBefore w:val="0"/>
        <w:shd w:val="clear" w:color="auto"/>
        <w:spacing w:line="56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3（杀虫剂）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4（杀菌剂）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5（杀菌剂）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6（杀菌剂）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 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0" w:name="OLE_LINK25"/>
      <w:bookmarkStart w:id="11" w:name="OLE_LINK15"/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1（叶面肥）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所投产品须具有相应的肥料登记证书或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通过农业农村部肥料备案系统进行备案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2（杀虫剂）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涵盖小麦。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3（杀虫剂）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涵盖小麦。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4（杀菌剂）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投标供应商若是农药生产制造商，须提供有效期内的《农药生产许可证》及《农药登记证》且《农药登记证》登记防治范围须涵盖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小麦赤霉病、白粉病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小麦赤霉病、白粉病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5（杀菌剂）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投标供应商若是农药生产制造商，须提供有效期内的《农药生产许可证》及《农药登记证》且《农药登记证》登记防治范围须涵盖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小麦赤霉病、白粉病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小麦赤霉病、白粉病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采购包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6（杀菌剂）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的特定资格要求：</w:t>
      </w:r>
    </w:p>
    <w:bookmarkEnd w:id="10"/>
    <w:bookmarkEnd w:id="11"/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投标供应商若是农药生产制造商，须提供有效期内的《农药生产许可证》及《农药登记证》且《农药登记证》登记防治范围须涵盖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小麦赤霉病、白粉病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小麦赤霉病、白粉病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p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注：采购包1、采购包2、采购包3、采购包4、采购包5、采购包6的特定资格要求证明材料提供原件彩色扫描件或复印件。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三、公告时间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bookmarkStart w:id="12" w:name="EBd6e08bd78d674b669f89e3eb71dbbd3d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日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bookmarkEnd w:id="12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至</w:t>
      </w:r>
      <w:bookmarkStart w:id="13" w:name="EB4a82fe30d91a48338ebb02b9012d939c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:</w:t>
      </w:r>
      <w:bookmarkEnd w:id="13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bookmarkStart w:id="14" w:name="OLE_LINK6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供应商在宿迁市政府采购网（http://zfcg.sqcz.suqian.gov.cn/）找到本项目获取相关调研文件。</w:t>
      </w:r>
      <w:bookmarkEnd w:id="14"/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意见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提交资料、截止时间和地点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（一）采购需求响应表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（二）提交证明资料：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……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以上资料加盖供应商公章后扫描发送至邮箱（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1344533050@qq.com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），其中明确要求供应商提供的征求意见资料请加盖供应商公章。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24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1344533050@qq.com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），逾期未发送的，采购人不予受理。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  <w:t>五、本次采购联系方式</w:t>
      </w:r>
    </w:p>
    <w:bookmarkEnd w:id="0"/>
    <w:bookmarkEnd w:id="1"/>
    <w:bookmarkEnd w:id="2"/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1.采购人信息</w:t>
      </w:r>
    </w:p>
    <w:bookmarkEnd w:id="3"/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泗洪县农业农村局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联系方式：</w:t>
      </w:r>
      <w:bookmarkEnd w:id="4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15261287892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0FA00A3"/>
    <w:rsid w:val="01505F15"/>
    <w:rsid w:val="02C40284"/>
    <w:rsid w:val="02F94AB6"/>
    <w:rsid w:val="03597303"/>
    <w:rsid w:val="04155920"/>
    <w:rsid w:val="042F4508"/>
    <w:rsid w:val="048A1B72"/>
    <w:rsid w:val="06023C82"/>
    <w:rsid w:val="06764670"/>
    <w:rsid w:val="0687062B"/>
    <w:rsid w:val="09772BD9"/>
    <w:rsid w:val="099B0AB9"/>
    <w:rsid w:val="09BE6112"/>
    <w:rsid w:val="0ABA2D7D"/>
    <w:rsid w:val="0AE41BA8"/>
    <w:rsid w:val="0AEA2F37"/>
    <w:rsid w:val="0B1D155E"/>
    <w:rsid w:val="0B6C62D8"/>
    <w:rsid w:val="0B7C0033"/>
    <w:rsid w:val="0BF16C73"/>
    <w:rsid w:val="0C2F779B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0FA1D52"/>
    <w:rsid w:val="117619C8"/>
    <w:rsid w:val="11C126A9"/>
    <w:rsid w:val="125C18E4"/>
    <w:rsid w:val="13DA623E"/>
    <w:rsid w:val="13E91B4E"/>
    <w:rsid w:val="14132A32"/>
    <w:rsid w:val="145E0C1D"/>
    <w:rsid w:val="149F2FE4"/>
    <w:rsid w:val="14B44CE1"/>
    <w:rsid w:val="151E03AD"/>
    <w:rsid w:val="156C55BC"/>
    <w:rsid w:val="16D43419"/>
    <w:rsid w:val="17033CFE"/>
    <w:rsid w:val="17995463"/>
    <w:rsid w:val="17C92852"/>
    <w:rsid w:val="19006747"/>
    <w:rsid w:val="194505FE"/>
    <w:rsid w:val="199D21E8"/>
    <w:rsid w:val="19D83220"/>
    <w:rsid w:val="1A0B4BA7"/>
    <w:rsid w:val="1A523765"/>
    <w:rsid w:val="1AE16104"/>
    <w:rsid w:val="1AED4AA9"/>
    <w:rsid w:val="1C84143D"/>
    <w:rsid w:val="1D525097"/>
    <w:rsid w:val="1F2111C5"/>
    <w:rsid w:val="20426272"/>
    <w:rsid w:val="204F3B10"/>
    <w:rsid w:val="20D34741"/>
    <w:rsid w:val="21244F9D"/>
    <w:rsid w:val="21503DBD"/>
    <w:rsid w:val="225673D8"/>
    <w:rsid w:val="23A10B26"/>
    <w:rsid w:val="2480698E"/>
    <w:rsid w:val="258B55EA"/>
    <w:rsid w:val="259A3A7F"/>
    <w:rsid w:val="25B62087"/>
    <w:rsid w:val="26437C73"/>
    <w:rsid w:val="28AA167D"/>
    <w:rsid w:val="28ED036A"/>
    <w:rsid w:val="28F9286B"/>
    <w:rsid w:val="2A7228D5"/>
    <w:rsid w:val="2A9E06AD"/>
    <w:rsid w:val="2AB078A1"/>
    <w:rsid w:val="2AB31A92"/>
    <w:rsid w:val="2ADF3346"/>
    <w:rsid w:val="2B2179E5"/>
    <w:rsid w:val="2B42499D"/>
    <w:rsid w:val="2C5A3F68"/>
    <w:rsid w:val="2CEF2D05"/>
    <w:rsid w:val="2CF972DD"/>
    <w:rsid w:val="2D3E1194"/>
    <w:rsid w:val="2E0E500A"/>
    <w:rsid w:val="2EA339A5"/>
    <w:rsid w:val="2ECB7F18"/>
    <w:rsid w:val="2F011BC5"/>
    <w:rsid w:val="2F146650"/>
    <w:rsid w:val="2FE204FD"/>
    <w:rsid w:val="2FFD5337"/>
    <w:rsid w:val="300A6465"/>
    <w:rsid w:val="3028796A"/>
    <w:rsid w:val="30515682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405251"/>
    <w:rsid w:val="379557C5"/>
    <w:rsid w:val="37FE39FA"/>
    <w:rsid w:val="38170F5F"/>
    <w:rsid w:val="38B44A00"/>
    <w:rsid w:val="38B63E89"/>
    <w:rsid w:val="39470146"/>
    <w:rsid w:val="39873EC3"/>
    <w:rsid w:val="3A267238"/>
    <w:rsid w:val="3ABB02C8"/>
    <w:rsid w:val="3AE3337B"/>
    <w:rsid w:val="3B194FEF"/>
    <w:rsid w:val="3B253993"/>
    <w:rsid w:val="3B26789D"/>
    <w:rsid w:val="3B6049CB"/>
    <w:rsid w:val="3C4816E7"/>
    <w:rsid w:val="3C616C4D"/>
    <w:rsid w:val="3C756255"/>
    <w:rsid w:val="3E7F160D"/>
    <w:rsid w:val="3EA01CAF"/>
    <w:rsid w:val="3F84512C"/>
    <w:rsid w:val="3FCB2D5B"/>
    <w:rsid w:val="40A844CE"/>
    <w:rsid w:val="40F51F23"/>
    <w:rsid w:val="41BC045E"/>
    <w:rsid w:val="41F421AA"/>
    <w:rsid w:val="42A653BA"/>
    <w:rsid w:val="42A81132"/>
    <w:rsid w:val="42EB101F"/>
    <w:rsid w:val="43811983"/>
    <w:rsid w:val="4407632C"/>
    <w:rsid w:val="44134CD1"/>
    <w:rsid w:val="442E6AD0"/>
    <w:rsid w:val="44536B60"/>
    <w:rsid w:val="44CE6E4A"/>
    <w:rsid w:val="47335E57"/>
    <w:rsid w:val="4743767B"/>
    <w:rsid w:val="476615BC"/>
    <w:rsid w:val="47A4045F"/>
    <w:rsid w:val="491D5CAA"/>
    <w:rsid w:val="499C0BD1"/>
    <w:rsid w:val="49D46CB0"/>
    <w:rsid w:val="49EF3AEA"/>
    <w:rsid w:val="4A88006B"/>
    <w:rsid w:val="4A8A55C1"/>
    <w:rsid w:val="4B8B7843"/>
    <w:rsid w:val="4BDE7972"/>
    <w:rsid w:val="4BE97D04"/>
    <w:rsid w:val="4C417F01"/>
    <w:rsid w:val="4C6F0F12"/>
    <w:rsid w:val="4D07739D"/>
    <w:rsid w:val="4DD252B5"/>
    <w:rsid w:val="4DE83448"/>
    <w:rsid w:val="4E5959D6"/>
    <w:rsid w:val="4E7C16C5"/>
    <w:rsid w:val="4E956E59"/>
    <w:rsid w:val="4EA36C51"/>
    <w:rsid w:val="4FAC368C"/>
    <w:rsid w:val="4FD94D03"/>
    <w:rsid w:val="504F3151"/>
    <w:rsid w:val="506568B4"/>
    <w:rsid w:val="50795EBC"/>
    <w:rsid w:val="510D2AA8"/>
    <w:rsid w:val="51E97071"/>
    <w:rsid w:val="52232583"/>
    <w:rsid w:val="52741030"/>
    <w:rsid w:val="53D72999"/>
    <w:rsid w:val="54905ECA"/>
    <w:rsid w:val="55B75118"/>
    <w:rsid w:val="56206E83"/>
    <w:rsid w:val="57342B3C"/>
    <w:rsid w:val="574A6804"/>
    <w:rsid w:val="57580F21"/>
    <w:rsid w:val="57607DD5"/>
    <w:rsid w:val="578D049F"/>
    <w:rsid w:val="58112E7E"/>
    <w:rsid w:val="58FF717A"/>
    <w:rsid w:val="59F34F31"/>
    <w:rsid w:val="5AAC3332"/>
    <w:rsid w:val="5B5E63DA"/>
    <w:rsid w:val="5B74678D"/>
    <w:rsid w:val="5BCA1CC1"/>
    <w:rsid w:val="5BD963A8"/>
    <w:rsid w:val="5CB41136"/>
    <w:rsid w:val="5D896DC7"/>
    <w:rsid w:val="5DC0337C"/>
    <w:rsid w:val="5F265461"/>
    <w:rsid w:val="5FFF5CB2"/>
    <w:rsid w:val="6037369D"/>
    <w:rsid w:val="61665E0C"/>
    <w:rsid w:val="617E646B"/>
    <w:rsid w:val="61D4389A"/>
    <w:rsid w:val="61D5316E"/>
    <w:rsid w:val="61EB0BE3"/>
    <w:rsid w:val="61EF2276"/>
    <w:rsid w:val="63BE2082"/>
    <w:rsid w:val="63F55D49"/>
    <w:rsid w:val="63FC0106"/>
    <w:rsid w:val="640527AC"/>
    <w:rsid w:val="64146C11"/>
    <w:rsid w:val="64B25FD2"/>
    <w:rsid w:val="653C247F"/>
    <w:rsid w:val="6592281B"/>
    <w:rsid w:val="65A25A5D"/>
    <w:rsid w:val="66ED0F5A"/>
    <w:rsid w:val="677B47B7"/>
    <w:rsid w:val="67E934CF"/>
    <w:rsid w:val="68212C69"/>
    <w:rsid w:val="6841155D"/>
    <w:rsid w:val="68802085"/>
    <w:rsid w:val="68A45648"/>
    <w:rsid w:val="69C21EBC"/>
    <w:rsid w:val="6A4315BC"/>
    <w:rsid w:val="6A4964A7"/>
    <w:rsid w:val="6ABD57B6"/>
    <w:rsid w:val="6B5B0B88"/>
    <w:rsid w:val="6BAA11C7"/>
    <w:rsid w:val="6C164AAF"/>
    <w:rsid w:val="6C724941"/>
    <w:rsid w:val="6C861C34"/>
    <w:rsid w:val="6E0F6759"/>
    <w:rsid w:val="6E162B44"/>
    <w:rsid w:val="6F495F20"/>
    <w:rsid w:val="6F5C3916"/>
    <w:rsid w:val="6F8D5195"/>
    <w:rsid w:val="6FCC5BB0"/>
    <w:rsid w:val="70692E0E"/>
    <w:rsid w:val="73171838"/>
    <w:rsid w:val="736A07C2"/>
    <w:rsid w:val="74E426CB"/>
    <w:rsid w:val="756D3991"/>
    <w:rsid w:val="759058D2"/>
    <w:rsid w:val="75A44ED9"/>
    <w:rsid w:val="75AD0232"/>
    <w:rsid w:val="75C537CD"/>
    <w:rsid w:val="765C57B4"/>
    <w:rsid w:val="771D13E7"/>
    <w:rsid w:val="777F5BFE"/>
    <w:rsid w:val="77905715"/>
    <w:rsid w:val="785901FD"/>
    <w:rsid w:val="78961451"/>
    <w:rsid w:val="79FA5A10"/>
    <w:rsid w:val="7A3D3B33"/>
    <w:rsid w:val="7A8039BD"/>
    <w:rsid w:val="7A862E00"/>
    <w:rsid w:val="7AFE00DC"/>
    <w:rsid w:val="7C322058"/>
    <w:rsid w:val="7C596A1E"/>
    <w:rsid w:val="7D7004C3"/>
    <w:rsid w:val="7DE844FD"/>
    <w:rsid w:val="7E0F7090"/>
    <w:rsid w:val="7EA61CC2"/>
    <w:rsid w:val="7EE06F82"/>
    <w:rsid w:val="7F9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40"/>
    </w:pPr>
    <w:rPr>
      <w:rFonts w:ascii="宋体"/>
      <w:sz w:val="24"/>
      <w:szCs w:val="24"/>
    </w:rPr>
  </w:style>
  <w:style w:type="paragraph" w:styleId="3">
    <w:name w:val="Normal Indent"/>
    <w:basedOn w:val="1"/>
    <w:next w:val="1"/>
    <w:qFormat/>
    <w:uiPriority w:val="0"/>
    <w:pPr>
      <w:spacing w:line="240" w:lineRule="auto"/>
      <w:ind w:firstLine="420"/>
    </w:pPr>
    <w:rPr>
      <w:rFonts w:cs="Times New Roman"/>
      <w:sz w:val="21"/>
      <w:szCs w:val="20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1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ascii="monospace" w:hAnsi="monospace" w:eastAsia="monospace" w:cs="monospace"/>
    </w:rPr>
  </w:style>
  <w:style w:type="paragraph" w:customStyle="1" w:styleId="26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7">
    <w:name w:val="first-child"/>
    <w:basedOn w:val="13"/>
    <w:qFormat/>
    <w:uiPriority w:val="0"/>
  </w:style>
  <w:style w:type="character" w:customStyle="1" w:styleId="2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old"/>
    <w:basedOn w:val="13"/>
    <w:qFormat/>
    <w:uiPriority w:val="0"/>
    <w:rPr>
      <w:color w:val="999999"/>
    </w:rPr>
  </w:style>
  <w:style w:type="character" w:customStyle="1" w:styleId="30">
    <w:name w:val="hour_am"/>
    <w:basedOn w:val="13"/>
    <w:qFormat/>
    <w:uiPriority w:val="0"/>
  </w:style>
  <w:style w:type="character" w:customStyle="1" w:styleId="31">
    <w:name w:val="hover5"/>
    <w:basedOn w:val="13"/>
    <w:qFormat/>
    <w:uiPriority w:val="0"/>
    <w:rPr>
      <w:shd w:val="clear" w:fill="EEEEEE"/>
    </w:rPr>
  </w:style>
  <w:style w:type="character" w:customStyle="1" w:styleId="32">
    <w:name w:val="glyphicon"/>
    <w:basedOn w:val="13"/>
    <w:qFormat/>
    <w:uiPriority w:val="0"/>
  </w:style>
  <w:style w:type="character" w:customStyle="1" w:styleId="33">
    <w:name w:val="hour_pm"/>
    <w:basedOn w:val="13"/>
    <w:qFormat/>
    <w:uiPriority w:val="0"/>
  </w:style>
  <w:style w:type="character" w:customStyle="1" w:styleId="34">
    <w:name w:val="current2"/>
    <w:basedOn w:val="13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current3"/>
    <w:basedOn w:val="13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6">
    <w:name w:val="disabled"/>
    <w:basedOn w:val="13"/>
    <w:qFormat/>
    <w:uiPriority w:val="0"/>
    <w:rPr>
      <w:color w:val="DDDDDD"/>
      <w:bdr w:val="single" w:color="EEEEEE" w:sz="6" w:space="0"/>
    </w:rPr>
  </w:style>
  <w:style w:type="character" w:customStyle="1" w:styleId="37">
    <w:name w:val="disabled1"/>
    <w:basedOn w:val="13"/>
    <w:qFormat/>
    <w:uiPriority w:val="0"/>
    <w:rPr>
      <w:color w:val="DDDDDD"/>
      <w:bdr w:val="single" w:color="EEEEEE" w:sz="6" w:space="0"/>
    </w:rPr>
  </w:style>
  <w:style w:type="character" w:customStyle="1" w:styleId="38">
    <w:name w:val="current"/>
    <w:basedOn w:val="13"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9">
    <w:name w:val="current1"/>
    <w:basedOn w:val="13"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40">
    <w:name w:val="hover"/>
    <w:basedOn w:val="13"/>
    <w:qFormat/>
    <w:uiPriority w:val="0"/>
    <w:rPr>
      <w:shd w:val="clear" w:fill="EEEEEE"/>
    </w:rPr>
  </w:style>
  <w:style w:type="character" w:customStyle="1" w:styleId="4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2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3512</Words>
  <Characters>3797</Characters>
  <Lines>0</Lines>
  <Paragraphs>0</Paragraphs>
  <TotalTime>9</TotalTime>
  <ScaleCrop>false</ScaleCrop>
  <LinksUpToDate>false</LinksUpToDate>
  <CharactersWithSpaces>3810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cp:lastPrinted>2025-02-18T01:10:00Z</cp:lastPrinted>
  <dcterms:modified xsi:type="dcterms:W3CDTF">2025-02-18T07:42:33Z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458D0A5F3B79472C98E3B8B53EDEADCB_12</vt:lpwstr>
  </property>
  <property fmtid="{D5CDD505-2E9C-101B-9397-08002B2CF9AE}" pid="4" name="KSOTemplateDocerSaveRecord">
    <vt:lpwstr>eyJoZGlkIjoiNDIzNDk2YTdlZDc1MzUxY2U2Zjk4MDEzOWYwMmZhOTciLCJ1c2VySWQiOiI1MDQ0ODQwOTUifQ==</vt:lpwstr>
  </property>
</Properties>
</file>